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11</w:t>
      </w:r>
    </w:p>
    <w:p>
      <w:r>
        <w:t>Bundesgericht (BGE), 1975-03-21, DE</w:t>
      </w:r>
    </w:p>
    <w:p>
      <w:r>
        <w:rPr>
          <w:b/>
        </w:rPr>
        <w:t xml:space="preserve">Quelle: </w:t>
      </w:r>
      <w:r>
        <w:t>https://mcp.opencaselaw.ch/entscheid/bge_101 IV 11</w:t>
      </w:r>
    </w:p>
    <w:p>
      <w:r>
        <w:t>FR: ATF 101 IV 11</w:t>
      </w:r>
    </w:p>
    <w:p>
      <w:r>
        <w:t>IT: DTF 101 IV 11</w:t>
      </w:r>
    </w:p>
    <w:p>
      <w:pPr>
        <w:pStyle w:val="Heading2"/>
      </w:pPr>
      <w:r>
        <w:t>Regeste</w:t>
      </w:r>
    </w:p>
    <w:p>
      <w:r>
        <w:t>Regeste Art. 41 Ziff. 3 Abs. 2 StGB. Ob ein während der Probezeit begangenes Verbrechen oder Vergehen als leicht zu bewerten sei, entscheidet sich aufgrund aller objektiven und subjektiven Umstände. Fälle, die das breite Feld durchschnittlicher Taten nicht übersteigen, sind nicht ohne weiteres leicht im Sinne der genannten Bestimmung. Die Grenze kann nicht schematisch bei einer für die neue Tat ausgesprochenen Gefängnisstrafe von einem Monat gezogen werden.</w:t>
      </w:r>
    </w:p>
    <w:p>
      <w:pPr>
        <w:pStyle w:val="Heading2"/>
      </w:pPr>
      <w:r>
        <w:t>Erwägungen</w:t>
      </w:r>
    </w:p>
    <w:p>
      <w:r>
        <w:rPr>
          <w:b/>
        </w:rPr>
        <w:t>E. 1</w:t>
      </w:r>
    </w:p>
    <w:p>
      <w:r>
        <w:t>Die Vorinstanz begründet ihren Entscheid vorerst damit, dass nach ihrer Rechtsprechung ein leichter Fall im Sinne des Art. 41 Ziff. 3 Abs. 2 StGB nur bis zu einer Freiheitsstrafe von einem Monat angenommen werde. Bloss aussergewöhnliche Umstände rechtfertigten es, eine mit einer höheren Freiheitsstrafe geahndete Tat als leichten Fall zu qualifizieren. Solche seien in der vorliegenden Strafsache nicht gegeben. Die in Art. 41 Ziff. 3 Abs. 2 StGB stehende Wendung "in leichten Fällen" ist ein unbestimmter Rechtsbegriff. Seine Anwendung lässt im konkreten Fall dem Sachrichter einen Spielraum, der sich von der Betätigung des Ermessens nicht scharf trennen lässt. In Überprüfung solcher Entscheide legt sich der Kassationshof eine gewisse Zurückhaltung auf ( BGE 98 Ib 467 E. 3a, 481 E. 3a, 509 E. 2; BGE 97 I 535 E. 3a). Der Kassationshof hat bereits in BGE 98 IV 251 E. 3c zur Frage Stellung bezogen, wann ein während der Probezeit begangenes neues Verbrechen oder Vergehen im Sinne von Art. 41 Ziff. 3 Abs. 2 StGB als "leicht" zu gelten hat. Art und Dauer der erneut ausgesprochenen Freiheitsstrafe bieten wohl einen wichtigen Anhaltspunkt für die Bewertung der Tat durch den kantonalen Sachrichter. Sie können aber für den Kassationshof, der die Tat selbständig bewerten muss, schon deshalb nicht einziges Kriterium sein, weil die Gerichte nicht immer nach gleich strengen Massstäben die Strafe zumessen. Letztlich muss auch der Kassationshof auf Grund aller objektiven und subjektiven Umstände des Einzelfalles prüfen, ob der neuen Tat ein leichtes oder ein nicht mehr leicht zu nehmendes Verschulden zugrunde liege und ob allenfalls aussergewöhnliche Umstände in Betracht gezogen werden müssen. Ergänzend sei klargestellt, dass nicht jeder Fall, der nicht das breite Feld durchschnittlicher Taten übersteigt und in diesem Sinne nicht als "schwer" angesehen werden kann, als "leicht" im Sinne des Art. 41 Ziff. 3 StGB gelten kann, wie der Kassationshof schon im nicht veröffentlichten Teil des Urteils vom 15. Mai 1972 i.S. Stierli erkannt hat. Nach diesen Grundsätzen erscheint die von der Vorinstanz vorgenommene schematische Grenzziehung bei einem Monat Gefängnis für sich allein genommen als ein zu starres Kriterium BGE 101 IV 11 S. 14 und entspricht nicht dem Sinne von Art. 41 Ziff. 3 Abs. 2 StGB . Wenn Art. 38 Ziff. 4 Abs. 1 StGB die Vollzugsbehörden ermächtigt, auf eine Rückversetzung des bedingt Entlassenen selbst dann zu verzichten, wenn er für die neue Tat zu einer Gefängnisstrafe von drei Monaten unbedingt verurteilt wurde, ist nicht einzusehen, weshalb der Richter in seinem Ermessen stärker eingeschränkt sein sollte. Wenn Art. 41 StGB dem Richter keine solche Grenze setzte, dann offensichtlich deshalb, weil man seinem Ermessen von der neu ausgefällten Strafe her keine formalen Grenzen setzen wollte. Hätte die Vorinstanz den Vollzug der seinerzeit bedingt ausgesprochenen Gefängnisstrafe ausschliesslich mit der Begründung angeordnet, eine Gefängnisstrafe von drei Monaten könne zum vorneherein nicht oder nur bei Vorliegen ausserordentlicher Umstände als "leichter Fall" angesehen werden, so hätte sie den unbestimmten Rechtsbegriff nicht nach Sinn und Zweck der Vorschrift ausgelegt. Sie hat indes zusätzlich geprüft, ob nach den objektiven und subjektiven Umständen ein leichter Fall vorliege.</w:t>
      </w:r>
    </w:p>
    <w:p>
      <w:r>
        <w:rPr>
          <w:b/>
        </w:rPr>
        <w:t>E. 2</w:t>
      </w:r>
    </w:p>
    <w:p>
      <w:r>
        <w:t>Die Vorinstanz wirft dem Beschwerdeführer zunächst vor, als angesehener und loyal geltender Garagist habe er harmlos und mit mehr Gewicht auftreten können als ein in den Geschäftskreisen bekannter Hehler. Dieser Betrachtungsweise kann nicht zugestimmt werden. Nach Art. 63 StGB wirkt der gute Ruf, soweit er dem wirklichen Leben entspricht, strafmindernd. Diesen Ruf missbraucht zu haben, um besser hehlen zu können, wirft die Vorinstanz dem Beschwerdeführer nicht vor. Wäre er darauf ausgegangen, hätte er bei den Kaufinteressenten kaum jeweils durchblicken lassen, dass der Erwerb der vermittelten Autos nicht rechtmässig erfolgt sei. Dadurch verlor er den Verhandlungspartnern gegenüber den Anschein, ein integrer Geschäftsmann zu sein. Schwerer wiegt der von der Vorinstanz erhobene Vorwurf eines zwielichtigen Charakters, weil der Beschwerdeführer die Interessenten einerseits vor dem Kauf der gestohlenen Fahrzeuge gewarnt, sie anderseits aber wieder beschwichtigt habe. Zwar trifft der im angefochtenen Urteil verwendete Ausdruck "im Zwielicht" die Sache nicht genau. Dass Hehler untereinander sich über Verdachtselemente und das grössere oder geringere Risiko, entdeckt zu werden, äussern, liegt im Rahmen der Hehlerei und lässt die Tat noch nicht als besonders verwerflich BGE 101 IV 11 S. 15 oder schwer erscheinen. Immerhin ist erkennbar, dass der Beschwerdeführer nicht unüberlegt und leichtfertig zum Hehler wurde, dass er vielmehr bedacht vorgegangen und die Risiken abgewogen hat und im Vertrauen darauf, die Tat werde zu keiner Strafverfolgung führen, das Risiko selber auf sich genommen und auch die Kaufinteressenten beschwichtigt hat. Der von der Vorinstanz gezogene Schluss von dieser Handlungsweise auf einen entsprechenden Charakter ist tatsächlicher Natur und bindet den Kassationshof (Art. 273 Abs. 1 lit. b, 277bis Abs. 1 BStP). Hinzu kommt, dass der Beschwerdeführer wiederholt half, Diebesgut von beachtlichem Wert umzusetzen, und dass er sich, wenn auch als Randerscheinung, in einen internationalen und gross angelegten illegalen Verkehr mit gestohlenen Autos einschaltete. Das Motiv der Tat steht zwar nicht restlos fest. Die Vermutung allein, geschäftliche Gründe "dürften" den Beschwerdeführer zur Tat verleitet haben, ist noch keine bindende Feststellung, da sie die gesetzliche Unschuldsvermutung nicht zu beseitigen vermag ( BGE 76 IV 191 , E. 3, 78 IV 178 E. 4). Mit Bestimmtheit verneint die Vorinstanz aber die Behauptung, blosse Gutmütigkeit hätte den Beschwerdeführer zum Hehler werden lassen. Daran kann der Kassationshof nicht vorbeigehen ( Art. 277bis Abs. 1 BStP ). Der Beschwerdeführer wurde auch nicht durch äussere Umstände zur Tat gedrängt. Bei Berücksichtigung dieser Gesichtspunkte wiegt die dreimalige Hehlerei objektiv und subjektiv nicht mehr leicht. Ohne Bundesrecht zu verletzen, konnte die Vorinstanz daher einen "leichten Fall" im Sinne des Art. 41 Ziff. 3 Abs. 2 StGB verneinen. Dass die Hehlerei das Mittelmass nicht überschritten hat und in diesem Sinne nicht als schwer angesehen werden kann, macht sie noch nicht zu einem "leichten Fall" im Sinne der genannten Bestimmung. Hat man es aber nicht mehr mit einem "leichten Fall" zu tun, erweist sich die Beschwerde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